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BD" w:rsidRDefault="00E569E3" w:rsidP="00C443BD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-2648</wp:posOffset>
            </wp:positionV>
            <wp:extent cx="5760720" cy="2055840"/>
            <wp:effectExtent l="0" t="0" r="0" b="1905"/>
            <wp:wrapNone/>
            <wp:docPr id="2" name="Image 2" descr="C:\Users\d.zeisler\AppData\Local\Microsoft\Windows\INetCache\Content.Word\C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zeisler\AppData\Local\Microsoft\Windows\INetCache\Content.Word\CP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32D" w:rsidRDefault="0070132D" w:rsidP="00C443BD">
      <w:pPr>
        <w:pStyle w:val="Default"/>
        <w:rPr>
          <w:b/>
          <w:bCs/>
          <w:sz w:val="28"/>
          <w:szCs w:val="28"/>
        </w:rPr>
      </w:pPr>
    </w:p>
    <w:p w:rsidR="0070132D" w:rsidRDefault="0070132D" w:rsidP="00C443BD">
      <w:pPr>
        <w:pStyle w:val="Default"/>
        <w:rPr>
          <w:b/>
          <w:bCs/>
          <w:sz w:val="28"/>
          <w:szCs w:val="28"/>
        </w:rPr>
      </w:pPr>
    </w:p>
    <w:p w:rsidR="0070132D" w:rsidRDefault="0070132D" w:rsidP="00C443BD">
      <w:pPr>
        <w:pStyle w:val="Default"/>
        <w:rPr>
          <w:b/>
          <w:bCs/>
          <w:sz w:val="28"/>
          <w:szCs w:val="28"/>
        </w:rPr>
      </w:pPr>
    </w:p>
    <w:p w:rsidR="0070132D" w:rsidRDefault="0070132D" w:rsidP="00C443BD">
      <w:pPr>
        <w:pStyle w:val="Default"/>
        <w:rPr>
          <w:b/>
          <w:bCs/>
          <w:sz w:val="28"/>
          <w:szCs w:val="28"/>
        </w:rPr>
      </w:pPr>
    </w:p>
    <w:p w:rsidR="0070132D" w:rsidRDefault="0070132D" w:rsidP="00C443BD">
      <w:pPr>
        <w:pStyle w:val="Default"/>
        <w:rPr>
          <w:b/>
          <w:bCs/>
          <w:sz w:val="28"/>
          <w:szCs w:val="28"/>
        </w:rPr>
      </w:pPr>
    </w:p>
    <w:p w:rsidR="0070132D" w:rsidRDefault="0070132D" w:rsidP="00C443BD">
      <w:pPr>
        <w:pStyle w:val="Default"/>
        <w:rPr>
          <w:b/>
          <w:bCs/>
          <w:sz w:val="28"/>
          <w:szCs w:val="28"/>
        </w:rPr>
      </w:pPr>
    </w:p>
    <w:p w:rsidR="0070132D" w:rsidRDefault="0070132D" w:rsidP="00C443BD">
      <w:pPr>
        <w:pStyle w:val="Default"/>
        <w:rPr>
          <w:b/>
          <w:bCs/>
          <w:sz w:val="28"/>
          <w:szCs w:val="28"/>
        </w:rPr>
      </w:pPr>
    </w:p>
    <w:p w:rsidR="0070132D" w:rsidRDefault="0070132D" w:rsidP="00C443BD">
      <w:pPr>
        <w:pStyle w:val="Default"/>
        <w:rPr>
          <w:b/>
          <w:bCs/>
          <w:sz w:val="28"/>
          <w:szCs w:val="28"/>
        </w:rPr>
      </w:pPr>
    </w:p>
    <w:p w:rsidR="0070132D" w:rsidRDefault="0070132D" w:rsidP="00C443BD">
      <w:pPr>
        <w:pStyle w:val="Default"/>
        <w:rPr>
          <w:b/>
          <w:bCs/>
          <w:sz w:val="28"/>
          <w:szCs w:val="28"/>
        </w:rPr>
      </w:pPr>
    </w:p>
    <w:p w:rsidR="0070132D" w:rsidRDefault="0070132D" w:rsidP="00C443BD">
      <w:pPr>
        <w:pStyle w:val="Default"/>
        <w:rPr>
          <w:b/>
          <w:bCs/>
          <w:sz w:val="28"/>
          <w:szCs w:val="28"/>
        </w:rPr>
      </w:pPr>
    </w:p>
    <w:p w:rsidR="0070132D" w:rsidRDefault="0070132D" w:rsidP="00C443BD">
      <w:pPr>
        <w:pStyle w:val="Default"/>
        <w:rPr>
          <w:b/>
          <w:bCs/>
          <w:sz w:val="28"/>
          <w:szCs w:val="28"/>
        </w:rPr>
      </w:pPr>
    </w:p>
    <w:p w:rsidR="00C443BD" w:rsidRDefault="00C443BD" w:rsidP="00C443BD">
      <w:pPr>
        <w:pStyle w:val="Default"/>
      </w:pPr>
      <w:r>
        <w:rPr>
          <w:b/>
          <w:bCs/>
          <w:sz w:val="28"/>
          <w:szCs w:val="28"/>
        </w:rPr>
        <w:t xml:space="preserve">Contribution d’Adédom au GR31 sur le Projet de loi instituant un système </w:t>
      </w:r>
      <w:bookmarkStart w:id="0" w:name="_GoBack"/>
      <w:bookmarkEnd w:id="0"/>
      <w:r>
        <w:rPr>
          <w:b/>
          <w:bCs/>
          <w:sz w:val="28"/>
          <w:szCs w:val="28"/>
        </w:rPr>
        <w:t>universel de retraite</w:t>
      </w:r>
    </w:p>
    <w:p w:rsidR="00C443BD" w:rsidRDefault="00C443BD" w:rsidP="00C443BD"/>
    <w:p w:rsidR="00C443BD" w:rsidRDefault="00C443BD" w:rsidP="00C443BD">
      <w:pPr>
        <w:jc w:val="both"/>
      </w:pPr>
      <w:r>
        <w:t>Adédom, Fédération nationale souligne tout d’abord sa volonté que la loi sur le Grand âge dite loi « Dépendance »</w:t>
      </w:r>
      <w:r>
        <w:t xml:space="preserve"> </w:t>
      </w:r>
      <w:r>
        <w:t xml:space="preserve">soit au </w:t>
      </w:r>
      <w:r w:rsidR="0070132D">
        <w:t>cœur</w:t>
      </w:r>
      <w:r>
        <w:t xml:space="preserve"> de l’agenda social et ne soit pas reportée sous prétexte d’autres urgences. La loi dépendance ne doit</w:t>
      </w:r>
      <w:r>
        <w:t xml:space="preserve"> </w:t>
      </w:r>
      <w:r>
        <w:t>pas être la victime de la loi sur les retraites sous prétexte d’un arbitrage financier.</w:t>
      </w:r>
    </w:p>
    <w:p w:rsidR="00C443BD" w:rsidRDefault="00C443BD" w:rsidP="00C443BD">
      <w:pPr>
        <w:jc w:val="both"/>
      </w:pPr>
      <w:r>
        <w:t xml:space="preserve">Les estimations du rapport </w:t>
      </w:r>
      <w:proofErr w:type="spellStart"/>
      <w:r>
        <w:t>Libault</w:t>
      </w:r>
      <w:proofErr w:type="spellEnd"/>
      <w:r>
        <w:t xml:space="preserve"> font état d’un investissement de près de 10 milliards d’euros. C’est une</w:t>
      </w:r>
      <w:r>
        <w:t xml:space="preserve"> </w:t>
      </w:r>
      <w:r>
        <w:t>inquiétude sérieuse d’autant plus que le flou total subsiste sur l’impact financier de la réforme des retraites. Les</w:t>
      </w:r>
      <w:r>
        <w:t xml:space="preserve"> </w:t>
      </w:r>
      <w:r>
        <w:t>négociations en cours avec les différents secteurs professionnels, la détermination de la valeur du point, l’impact</w:t>
      </w:r>
      <w:r>
        <w:t xml:space="preserve"> </w:t>
      </w:r>
      <w:r>
        <w:t>des mesures sociales soutenues par Adédom dans le projet de texte de loi, laissent une grande incertitude sur</w:t>
      </w:r>
      <w:r>
        <w:t xml:space="preserve"> </w:t>
      </w:r>
      <w:r>
        <w:t>l’impact financier de cette réforme.</w:t>
      </w:r>
    </w:p>
    <w:p w:rsidR="00C443BD" w:rsidRDefault="00C443BD" w:rsidP="00C443BD">
      <w:pPr>
        <w:jc w:val="both"/>
      </w:pPr>
      <w:r>
        <w:t>La conférence de financement soutenue et approuvée par Adédom apportera sans doute des éléments</w:t>
      </w:r>
      <w:r>
        <w:t xml:space="preserve"> </w:t>
      </w:r>
      <w:r>
        <w:t>d’appréciation utiles. Adédom estime important que notre secteur à travers les employeurs de l’économie Sociale</w:t>
      </w:r>
      <w:r>
        <w:t xml:space="preserve"> </w:t>
      </w:r>
      <w:r>
        <w:t>(UDES) y soit représenté.</w:t>
      </w:r>
    </w:p>
    <w:p w:rsidR="00C443BD" w:rsidRDefault="00C443BD" w:rsidP="00C443BD">
      <w:pPr>
        <w:jc w:val="both"/>
      </w:pPr>
      <w:r>
        <w:t>Adédom rappelle que notre secteur est en attente d´une loi ambitieuse privilégiant une offre de services à la</w:t>
      </w:r>
      <w:r>
        <w:t xml:space="preserve"> </w:t>
      </w:r>
      <w:r>
        <w:t>hauteur des besoins des bénéficiaires à travers sa proposition de New deal pour offrir un panier de services de</w:t>
      </w:r>
      <w:r>
        <w:t xml:space="preserve"> </w:t>
      </w:r>
      <w:r>
        <w:t>qualité et complémentaires articulant politique de prévention et aide et soins.</w:t>
      </w:r>
    </w:p>
    <w:p w:rsidR="00C443BD" w:rsidRDefault="00C443BD" w:rsidP="00C443BD">
      <w:pPr>
        <w:jc w:val="both"/>
      </w:pPr>
      <w:r>
        <w:t>Sur le fond et pour répondre à la sollicitation du GR 31 sur la question spécifique de la réforme des retraites et tout</w:t>
      </w:r>
      <w:r>
        <w:t xml:space="preserve"> </w:t>
      </w:r>
      <w:r>
        <w:t>en regrettant la saisine rapide de la CNSA, ce qui rend difficile un positionnement démocratique de nos</w:t>
      </w:r>
      <w:r>
        <w:t xml:space="preserve"> </w:t>
      </w:r>
      <w:r>
        <w:t xml:space="preserve">organisations, Adédom est favorable aux grands principes de cette réforme qui prévoit la mise en </w:t>
      </w:r>
      <w:proofErr w:type="spellStart"/>
      <w:r>
        <w:t>oeuvre</w:t>
      </w:r>
      <w:proofErr w:type="spellEnd"/>
      <w:r>
        <w:t xml:space="preserve"> d’un</w:t>
      </w:r>
      <w:r>
        <w:t xml:space="preserve"> </w:t>
      </w:r>
      <w:r>
        <w:t>système universel, par répartition, en points. Adédom soutient également l’ensemble des mesures visant à</w:t>
      </w:r>
      <w:r>
        <w:t xml:space="preserve"> </w:t>
      </w:r>
      <w:r>
        <w:t>accompagner et protéger les personnes fragiles ou ayant connu des carrières heurtées, notre secteur en étant</w:t>
      </w:r>
      <w:r>
        <w:t xml:space="preserve"> </w:t>
      </w:r>
      <w:r>
        <w:t>largement l’objet, ainsi que l’évolution du montant minimum des pensions à 1 000 €.</w:t>
      </w:r>
    </w:p>
    <w:p w:rsidR="00C443BD" w:rsidRDefault="00C443BD" w:rsidP="00C443BD">
      <w:pPr>
        <w:jc w:val="both"/>
      </w:pPr>
      <w:r>
        <w:t>Adédom soutient aussi le principe d’une reconnaissance de droits nouveaux pour les femmes dès l’arrivée du</w:t>
      </w:r>
      <w:r>
        <w:t xml:space="preserve"> </w:t>
      </w:r>
      <w:r>
        <w:t>premier enfant et plus globalement pour éviter la disparité entre les retraites des femmes et des hommes. Notre</w:t>
      </w:r>
      <w:r>
        <w:t xml:space="preserve"> </w:t>
      </w:r>
      <w:r>
        <w:t>secteur étant particulièrement féminisée, c’est une reconnaissance nécessaire.</w:t>
      </w:r>
    </w:p>
    <w:p w:rsidR="00C443BD" w:rsidRDefault="00C443BD" w:rsidP="00C443BD">
      <w:pPr>
        <w:jc w:val="both"/>
      </w:pPr>
      <w:r>
        <w:t>Adédom soutient enfin la mise en place de droits ouverts en fonction de la durée de cotisation à condition que</w:t>
      </w:r>
      <w:r>
        <w:t xml:space="preserve"> </w:t>
      </w:r>
      <w:r>
        <w:t xml:space="preserve">les professionnels exerçant des métiers reconnus pour leur pénibilité et les carrières </w:t>
      </w:r>
      <w:r>
        <w:lastRenderedPageBreak/>
        <w:t>longues puissent partir plus</w:t>
      </w:r>
      <w:r>
        <w:t xml:space="preserve"> </w:t>
      </w:r>
      <w:r>
        <w:t>tôt. Dans les métiers du domicile, ces professionnels sont victimes d’arrêts de travail et d’accidents du travail dus</w:t>
      </w:r>
      <w:r>
        <w:t xml:space="preserve"> </w:t>
      </w:r>
      <w:r>
        <w:t>à la pénibilité, le taux d’AT/MP est là pour l’attester malheureusement. Adédom est favorable à une prise en</w:t>
      </w:r>
      <w:r>
        <w:t xml:space="preserve"> </w:t>
      </w:r>
      <w:r>
        <w:t>compte et une reconnaissance de cette pénibilité dans les métiers du domicile.</w:t>
      </w:r>
    </w:p>
    <w:p w:rsidR="00C443BD" w:rsidRDefault="00C443BD" w:rsidP="00C443BD">
      <w:pPr>
        <w:jc w:val="both"/>
      </w:pPr>
      <w:r>
        <w:t>Adédom souhaite également que l’ensemble des revenus, y compris au-delà des plafonds prévus par le rapport</w:t>
      </w:r>
      <w:r>
        <w:t xml:space="preserve"> </w:t>
      </w:r>
      <w:r>
        <w:t xml:space="preserve">Delevoye, contribue au nouveau système, ceci afin d’optimiser le financement des retraites et de mettre en </w:t>
      </w:r>
      <w:r>
        <w:t xml:space="preserve">œuvre </w:t>
      </w:r>
      <w:r>
        <w:t>les dispositifs de solidarité prévus dans le nouveau régime. C’est un principe de solidarité nationale.</w:t>
      </w:r>
    </w:p>
    <w:p w:rsidR="00C443BD" w:rsidRDefault="00C443BD" w:rsidP="00C443BD">
      <w:pPr>
        <w:jc w:val="both"/>
      </w:pPr>
      <w:r>
        <w:t>Enfin, Adédom déplore un problème de méthode dans l’avancée de cette réforme car le contenu de la réforme</w:t>
      </w:r>
      <w:r>
        <w:t xml:space="preserve"> </w:t>
      </w:r>
      <w:r>
        <w:t>reste confus et illisible. Un travail de pédagogie est nécessaire afin qu’elle puisse être comprise et que les Français</w:t>
      </w:r>
      <w:r>
        <w:t xml:space="preserve"> </w:t>
      </w:r>
      <w:r>
        <w:t>puissent se projeter et être rassurés quant au montant de leur future pension.</w:t>
      </w:r>
    </w:p>
    <w:p w:rsidR="001C28C5" w:rsidRDefault="00C443BD" w:rsidP="00C443BD">
      <w:pPr>
        <w:jc w:val="both"/>
      </w:pPr>
      <w:r>
        <w:t>Adédom regrette enfin qu’à aucun moment les organisations syndicales et patronales n’aient pu négocier sur ce</w:t>
      </w:r>
      <w:r>
        <w:t xml:space="preserve"> </w:t>
      </w:r>
      <w:r>
        <w:t>sujet capital.</w:t>
      </w:r>
    </w:p>
    <w:p w:rsidR="00C443BD" w:rsidRDefault="00C443BD" w:rsidP="00C443BD">
      <w:pPr>
        <w:jc w:val="both"/>
      </w:pPr>
    </w:p>
    <w:p w:rsidR="00C443BD" w:rsidRPr="00BA1AEA" w:rsidRDefault="00C443BD" w:rsidP="0070132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A1AEA">
        <w:rPr>
          <w:rFonts w:asciiTheme="minorHAnsi" w:hAnsiTheme="minorHAnsi" w:cstheme="minorHAnsi"/>
          <w:b/>
          <w:i/>
          <w:sz w:val="20"/>
          <w:szCs w:val="20"/>
        </w:rPr>
        <w:t>Contact Presse</w:t>
      </w:r>
      <w:r w:rsidRPr="00BA1AEA">
        <w:rPr>
          <w:rFonts w:asciiTheme="minorHAnsi" w:hAnsiTheme="minorHAnsi" w:cstheme="minorHAnsi"/>
          <w:i/>
          <w:sz w:val="20"/>
          <w:szCs w:val="20"/>
        </w:rPr>
        <w:t> :</w:t>
      </w:r>
    </w:p>
    <w:p w:rsidR="00C443BD" w:rsidRDefault="0070132D" w:rsidP="0070132D">
      <w:pPr>
        <w:ind w:right="743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sz w:val="20"/>
          <w:szCs w:val="20"/>
          <w:u w:val="single"/>
        </w:rPr>
        <w:t>adédom</w:t>
      </w:r>
      <w:proofErr w:type="spellEnd"/>
      <w:r w:rsidR="00C443BD" w:rsidRPr="00BA1AEA">
        <w:rPr>
          <w:rFonts w:cstheme="minorHAnsi"/>
          <w:i/>
          <w:sz w:val="20"/>
          <w:szCs w:val="20"/>
        </w:rPr>
        <w:t xml:space="preserve"> : David Zeisler </w:t>
      </w:r>
      <w:r w:rsidR="00C443BD">
        <w:rPr>
          <w:rFonts w:cstheme="minorHAnsi"/>
          <w:i/>
          <w:sz w:val="20"/>
          <w:szCs w:val="20"/>
        </w:rPr>
        <w:t>-</w:t>
      </w:r>
      <w:r w:rsidR="00C443BD" w:rsidRPr="00BA1AEA">
        <w:rPr>
          <w:rFonts w:cstheme="minorHAnsi"/>
          <w:i/>
          <w:sz w:val="20"/>
          <w:szCs w:val="20"/>
        </w:rPr>
        <w:t xml:space="preserve"> 01 40 84 68 79  </w:t>
      </w:r>
      <w:r w:rsidR="00C443BD">
        <w:rPr>
          <w:rFonts w:cstheme="minorHAnsi"/>
          <w:i/>
          <w:sz w:val="20"/>
          <w:szCs w:val="20"/>
        </w:rPr>
        <w:t>-</w:t>
      </w:r>
      <w:r w:rsidR="00C443BD" w:rsidRPr="00BA1AEA">
        <w:rPr>
          <w:rFonts w:cstheme="minorHAnsi"/>
          <w:i/>
          <w:sz w:val="20"/>
          <w:szCs w:val="20"/>
        </w:rPr>
        <w:t xml:space="preserve"> </w:t>
      </w:r>
      <w:hyperlink r:id="rId5" w:history="1">
        <w:r w:rsidR="00C443BD" w:rsidRPr="00BA1AEA">
          <w:rPr>
            <w:rStyle w:val="Lienhypertexte"/>
            <w:rFonts w:cstheme="minorHAnsi"/>
            <w:i/>
            <w:sz w:val="20"/>
            <w:szCs w:val="20"/>
          </w:rPr>
          <w:t>d.zeisler@adessadomicile.org</w:t>
        </w:r>
      </w:hyperlink>
    </w:p>
    <w:p w:rsidR="00C443BD" w:rsidRDefault="00C443BD" w:rsidP="0070132D">
      <w:pPr>
        <w:ind w:right="743"/>
        <w:rPr>
          <w:rFonts w:cstheme="minorHAnsi"/>
          <w:i/>
          <w:sz w:val="18"/>
          <w:szCs w:val="18"/>
          <w:u w:val="single"/>
        </w:rPr>
      </w:pPr>
    </w:p>
    <w:p w:rsidR="00C443BD" w:rsidRDefault="00C443BD" w:rsidP="0070132D">
      <w:pPr>
        <w:ind w:right="743"/>
        <w:rPr>
          <w:rFonts w:cstheme="minorHAnsi"/>
          <w:i/>
          <w:sz w:val="18"/>
          <w:szCs w:val="18"/>
          <w:u w:val="single"/>
        </w:rPr>
      </w:pPr>
    </w:p>
    <w:p w:rsidR="00C443BD" w:rsidRPr="00CB218F" w:rsidRDefault="00C443BD" w:rsidP="0070132D">
      <w:pPr>
        <w:ind w:right="743"/>
        <w:rPr>
          <w:rFonts w:cstheme="minorHAnsi"/>
          <w:sz w:val="20"/>
          <w:szCs w:val="20"/>
        </w:rPr>
      </w:pPr>
      <w:r w:rsidRPr="00BA1AEA">
        <w:rPr>
          <w:rFonts w:cstheme="minorHAnsi"/>
          <w:i/>
          <w:sz w:val="18"/>
          <w:szCs w:val="18"/>
          <w:u w:val="single"/>
        </w:rPr>
        <w:t>À propos d’</w:t>
      </w:r>
      <w:proofErr w:type="spellStart"/>
      <w:r>
        <w:rPr>
          <w:rFonts w:cstheme="minorHAnsi"/>
          <w:i/>
          <w:sz w:val="18"/>
          <w:szCs w:val="18"/>
          <w:u w:val="single"/>
        </w:rPr>
        <w:t>adédom</w:t>
      </w:r>
      <w:proofErr w:type="spellEnd"/>
    </w:p>
    <w:p w:rsidR="00C443BD" w:rsidRPr="00BA1AEA" w:rsidRDefault="00C443BD" w:rsidP="0070132D">
      <w:pPr>
        <w:pStyle w:val="Sansinterligne"/>
        <w:jc w:val="both"/>
        <w:rPr>
          <w:rFonts w:asciiTheme="minorHAnsi" w:hAnsiTheme="minorHAnsi" w:cstheme="minorHAnsi"/>
          <w:sz w:val="18"/>
          <w:szCs w:val="18"/>
        </w:rPr>
      </w:pPr>
      <w:r w:rsidRPr="00BA1AEA">
        <w:rPr>
          <w:rFonts w:asciiTheme="minorHAnsi" w:hAnsiTheme="minorHAnsi" w:cstheme="minorHAnsi"/>
          <w:color w:val="000000" w:themeColor="text1"/>
          <w:sz w:val="18"/>
          <w:szCs w:val="18"/>
        </w:rPr>
        <w:t>Reconnue d’utilit</w:t>
      </w:r>
      <w:r w:rsidRPr="00BA1AE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é́</w:t>
      </w:r>
      <w:r w:rsidRPr="00BA1AE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publique depuis 1938, elle représente plus de 350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entreprises associatives</w:t>
      </w:r>
      <w:r w:rsidRPr="00BA1AE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et organismes gestionnaires publics et privés à but non lucratif. Ces structures emploient près de </w:t>
      </w:r>
      <w:r>
        <w:rPr>
          <w:rFonts w:asciiTheme="minorHAnsi" w:hAnsiTheme="minorHAnsi" w:cstheme="minorHAnsi"/>
          <w:sz w:val="18"/>
          <w:szCs w:val="18"/>
        </w:rPr>
        <w:t>25</w:t>
      </w:r>
      <w:r w:rsidRPr="00BA1AEA">
        <w:rPr>
          <w:rFonts w:asciiTheme="minorHAnsi" w:hAnsiTheme="minorHAnsi" w:cstheme="minorHAnsi"/>
          <w:sz w:val="18"/>
          <w:szCs w:val="18"/>
        </w:rPr>
        <w:t xml:space="preserve"> 000 </w:t>
      </w:r>
      <w:r w:rsidRPr="00BA1AE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salariés sur le territoire </w:t>
      </w:r>
      <w:r w:rsidRPr="00BA1AEA">
        <w:rPr>
          <w:rFonts w:asciiTheme="minorHAnsi" w:hAnsiTheme="minorHAnsi" w:cstheme="minorHAnsi"/>
          <w:sz w:val="18"/>
          <w:szCs w:val="18"/>
        </w:rPr>
        <w:t>métropolitain et outre-mer, attach</w:t>
      </w:r>
      <w:r w:rsidRPr="00BA1AEA">
        <w:rPr>
          <w:rFonts w:asciiTheme="minorHAnsi" w:eastAsia="Calibri" w:hAnsiTheme="minorHAnsi" w:cstheme="minorHAnsi"/>
          <w:sz w:val="18"/>
          <w:szCs w:val="18"/>
        </w:rPr>
        <w:t>ée</w:t>
      </w:r>
      <w:r w:rsidRPr="00BA1AEA">
        <w:rPr>
          <w:rFonts w:asciiTheme="minorHAnsi" w:hAnsiTheme="minorHAnsi" w:cstheme="minorHAnsi"/>
          <w:sz w:val="18"/>
          <w:szCs w:val="18"/>
        </w:rPr>
        <w:t xml:space="preserve">s </w:t>
      </w:r>
      <w:r w:rsidRPr="00BA1AEA">
        <w:rPr>
          <w:rFonts w:asciiTheme="minorHAnsi" w:hAnsiTheme="minorHAnsi" w:cstheme="minorHAnsi"/>
          <w:color w:val="000000" w:themeColor="text1"/>
          <w:sz w:val="18"/>
          <w:szCs w:val="18"/>
        </w:rPr>
        <w:t>aux mê</w:t>
      </w:r>
      <w:r w:rsidRPr="00BA1AE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m</w:t>
      </w:r>
      <w:r w:rsidRPr="00BA1AE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es valeurs, de solidarité́, de qualité, </w:t>
      </w:r>
      <w:r w:rsidRPr="00BA1AEA">
        <w:rPr>
          <w:rFonts w:asciiTheme="minorHAnsi" w:hAnsiTheme="minorHAnsi" w:cstheme="minorHAnsi"/>
          <w:sz w:val="18"/>
          <w:szCs w:val="18"/>
        </w:rPr>
        <w:t>de</w:t>
      </w:r>
      <w:r w:rsidRPr="00BA1AE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professionnalisme et de primauté de la personne,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r w:rsidRPr="00BA1AEA">
        <w:rPr>
          <w:rFonts w:asciiTheme="minorHAnsi" w:hAnsiTheme="minorHAnsi" w:cstheme="minorHAnsi"/>
          <w:color w:val="000000" w:themeColor="text1"/>
          <w:sz w:val="18"/>
          <w:szCs w:val="18"/>
        </w:rPr>
        <w:t>d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édom</w:t>
      </w:r>
      <w:proofErr w:type="spellEnd"/>
      <w:r w:rsidRPr="00BA1AE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ancre pleinement son action dans la voie de l’</w:t>
      </w:r>
      <w:r w:rsidRPr="00BA1AEA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>éc</w:t>
      </w:r>
      <w:r w:rsidRPr="00BA1AE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onomie sociale et solidaire. </w:t>
      </w:r>
      <w:r w:rsidRPr="00BA1AEA">
        <w:rPr>
          <w:rFonts w:asciiTheme="minorHAnsi" w:hAnsiTheme="minorHAnsi" w:cstheme="minorHAnsi"/>
          <w:sz w:val="18"/>
          <w:szCs w:val="18"/>
        </w:rPr>
        <w:t xml:space="preserve">En savoir plus sur </w:t>
      </w:r>
      <w:hyperlink r:id="rId6" w:history="1">
        <w:r w:rsidRPr="00BA1AEA">
          <w:rPr>
            <w:rStyle w:val="Lienhypertexte"/>
            <w:rFonts w:asciiTheme="minorHAnsi" w:hAnsiTheme="minorHAnsi" w:cstheme="minorHAnsi"/>
            <w:sz w:val="18"/>
            <w:szCs w:val="18"/>
          </w:rPr>
          <w:t>ad</w:t>
        </w:r>
        <w:r>
          <w:rPr>
            <w:rStyle w:val="Lienhypertexte"/>
            <w:rFonts w:asciiTheme="minorHAnsi" w:hAnsiTheme="minorHAnsi" w:cstheme="minorHAnsi"/>
            <w:sz w:val="18"/>
            <w:szCs w:val="18"/>
          </w:rPr>
          <w:t>edom.fr</w:t>
        </w:r>
      </w:hyperlink>
    </w:p>
    <w:p w:rsidR="00C443BD" w:rsidRDefault="00C443BD" w:rsidP="00C443BD">
      <w:pPr>
        <w:jc w:val="both"/>
      </w:pPr>
    </w:p>
    <w:sectPr w:rsidR="00C44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BD"/>
    <w:rsid w:val="00047386"/>
    <w:rsid w:val="001C28C5"/>
    <w:rsid w:val="0070132D"/>
    <w:rsid w:val="00C443BD"/>
    <w:rsid w:val="00E5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108E"/>
  <w15:chartTrackingRefBased/>
  <w15:docId w15:val="{6EAD9B4B-9C40-414E-8CDE-796A7C38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443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rsid w:val="00C443BD"/>
    <w:rPr>
      <w:color w:val="0000FF"/>
      <w:u w:val="single"/>
    </w:rPr>
  </w:style>
  <w:style w:type="paragraph" w:styleId="Sansinterligne">
    <w:name w:val="No Spacing"/>
    <w:uiPriority w:val="1"/>
    <w:qFormat/>
    <w:rsid w:val="00C443BD"/>
    <w:pPr>
      <w:spacing w:after="0" w:line="240" w:lineRule="auto"/>
    </w:pPr>
    <w:rPr>
      <w:rFonts w:ascii="Cambria" w:eastAsia="MS ??" w:hAnsi="Cambria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4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essadomicile.org" TargetMode="External"/><Relationship Id="rId5" Type="http://schemas.openxmlformats.org/officeDocument/2006/relationships/hyperlink" Target="mailto:d.zeisler@adessadomicil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Zeisler</dc:creator>
  <cp:keywords/>
  <dc:description/>
  <cp:lastModifiedBy>David Zeisler</cp:lastModifiedBy>
  <cp:revision>1</cp:revision>
  <dcterms:created xsi:type="dcterms:W3CDTF">2020-01-24T14:12:00Z</dcterms:created>
  <dcterms:modified xsi:type="dcterms:W3CDTF">2020-01-28T10:26:00Z</dcterms:modified>
</cp:coreProperties>
</file>